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7FE0" w14:textId="7F9D524B" w:rsidR="00BA75F8" w:rsidRPr="00BA75F8" w:rsidRDefault="00BA75F8">
      <w:pPr>
        <w:rPr>
          <w:rFonts w:ascii="Arial" w:hAnsi="Arial" w:cs="Arial"/>
          <w:b/>
        </w:rPr>
      </w:pPr>
      <w:r w:rsidRPr="00BA75F8">
        <w:rPr>
          <w:rFonts w:ascii="Arial" w:hAnsi="Arial" w:cs="Arial"/>
          <w:b/>
        </w:rPr>
        <w:t>De Caluwé kleurendenken</w:t>
      </w:r>
    </w:p>
    <w:p w14:paraId="0ED88D65" w14:textId="77777777" w:rsidR="00BA75F8" w:rsidRPr="00BA75F8" w:rsidRDefault="00BA75F8">
      <w:pPr>
        <w:rPr>
          <w:rFonts w:ascii="Arial" w:hAnsi="Arial" w:cs="Arial"/>
        </w:rPr>
      </w:pPr>
    </w:p>
    <w:p w14:paraId="7236753E" w14:textId="2E3CCE6D" w:rsidR="00BA75F8" w:rsidRPr="00BA75F8" w:rsidRDefault="00BA75F8" w:rsidP="00BA75F8">
      <w:pPr>
        <w:widowControl w:val="0"/>
        <w:autoSpaceDE w:val="0"/>
        <w:autoSpaceDN w:val="0"/>
        <w:adjustRightInd w:val="0"/>
        <w:rPr>
          <w:rFonts w:ascii="Arial" w:hAnsi="Arial" w:cs="Arial"/>
        </w:rPr>
      </w:pPr>
      <w:r w:rsidRPr="00BA75F8">
        <w:rPr>
          <w:rFonts w:ascii="Arial" w:hAnsi="Arial" w:cs="Arial"/>
        </w:rPr>
        <w:t>De vijf manieren denken over veranderen worden door De Caluwé getypeerd via kleuren.</w:t>
      </w:r>
      <w:r>
        <w:rPr>
          <w:rFonts w:ascii="Arial" w:hAnsi="Arial" w:cs="Arial"/>
        </w:rPr>
        <w:t xml:space="preserve"> Hieronder een schematisch voorbeeld van de vijf kleuren:</w:t>
      </w:r>
    </w:p>
    <w:p w14:paraId="24B50714" w14:textId="77777777" w:rsidR="00BA75F8" w:rsidRPr="00BA75F8" w:rsidRDefault="00BA75F8">
      <w:pPr>
        <w:rPr>
          <w:rFonts w:ascii="Arial" w:hAnsi="Arial" w:cs="Arial"/>
        </w:rPr>
      </w:pPr>
    </w:p>
    <w:p w14:paraId="4FDD4442" w14:textId="77777777" w:rsidR="00BA75F8" w:rsidRPr="00BA75F8" w:rsidRDefault="00BA75F8">
      <w:pPr>
        <w:rPr>
          <w:rFonts w:ascii="Arial" w:hAnsi="Arial" w:cs="Arial"/>
        </w:rPr>
      </w:pPr>
    </w:p>
    <w:p w14:paraId="76908871" w14:textId="77777777" w:rsidR="00BA75F8" w:rsidRPr="00BA75F8" w:rsidRDefault="00BA75F8">
      <w:pPr>
        <w:rPr>
          <w:rFonts w:ascii="Arial" w:hAnsi="Arial" w:cs="Arial"/>
        </w:rPr>
      </w:pPr>
    </w:p>
    <w:p w14:paraId="7F8218E2" w14:textId="77777777" w:rsidR="0087368C" w:rsidRPr="00BA75F8" w:rsidRDefault="00A10EB4">
      <w:pPr>
        <w:rPr>
          <w:rFonts w:ascii="Arial" w:hAnsi="Arial" w:cs="Arial"/>
        </w:rPr>
      </w:pPr>
      <w:r w:rsidRPr="00BA75F8">
        <w:rPr>
          <w:rFonts w:ascii="Arial" w:hAnsi="Arial" w:cs="Arial"/>
          <w:noProof/>
        </w:rPr>
        <w:drawing>
          <wp:inline distT="0" distB="0" distL="0" distR="0" wp14:anchorId="44597110" wp14:editId="3653453C">
            <wp:extent cx="5756910" cy="4317683"/>
            <wp:effectExtent l="0" t="0" r="889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4317683"/>
                    </a:xfrm>
                    <a:prstGeom prst="rect">
                      <a:avLst/>
                    </a:prstGeom>
                    <a:noFill/>
                    <a:ln>
                      <a:noFill/>
                    </a:ln>
                  </pic:spPr>
                </pic:pic>
              </a:graphicData>
            </a:graphic>
          </wp:inline>
        </w:drawing>
      </w:r>
    </w:p>
    <w:p w14:paraId="3D018645" w14:textId="77777777" w:rsidR="009F691E" w:rsidRPr="00BA75F8" w:rsidRDefault="009F691E">
      <w:pPr>
        <w:rPr>
          <w:rFonts w:ascii="Arial" w:hAnsi="Arial" w:cs="Arial"/>
        </w:rPr>
      </w:pPr>
    </w:p>
    <w:p w14:paraId="63638162"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 </w:t>
      </w:r>
    </w:p>
    <w:p w14:paraId="7B67799E"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Bij geeldrukdenkers wordt verondersteld dat mensen pas zullen veranderen als je rekening houdt met hun eigen belang of als je ze tot bepaalde opvattingen kunt verleiden of dwingen.</w:t>
      </w:r>
    </w:p>
    <w:p w14:paraId="4BB1AD9D"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Het bijeenbrengen van meningen of standpunten en het vormen van coalities of machtsblokken zijn favoriete manieren van doen in dit soort veranderingstrajecten. Deze manier past heel sterk in veranderingstrajecten waar complexe doelen of effecten moeten worden gesteld of bereikt en waarbij meerdere personen of partijen zijn betrokken.</w:t>
      </w:r>
    </w:p>
    <w:p w14:paraId="7A5E4CC1"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 </w:t>
      </w:r>
    </w:p>
    <w:p w14:paraId="0EB37776"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Bij blauwdrukdenkers wordt verondersteld dat mensen of dingen zullen veranderen als je van tevoren een duidelijk gespecificeerd resultaat vastlegt, alle stappen minutieus plant en zowel het resultaat als de weg ernaartoe goed beheerst. De projectaanpak is een uitingsvorm van deze manier van denken. Voor veranderingstrajecten waarbij resultaat en weg goed zijn te omschrijven en te voorspellen is dit een favoriete aanpak.</w:t>
      </w:r>
    </w:p>
    <w:p w14:paraId="15FA9A59"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 </w:t>
      </w:r>
    </w:p>
    <w:p w14:paraId="4A000FD0"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 xml:space="preserve">Bij rooddrukdenkers wordt ervan uitgegaan dat mensen en organisaties zullen </w:t>
      </w:r>
      <w:r w:rsidRPr="00BA75F8">
        <w:rPr>
          <w:rFonts w:ascii="Arial" w:hAnsi="Arial" w:cs="Arial"/>
        </w:rPr>
        <w:lastRenderedPageBreak/>
        <w:t>veranderen als je de juiste HRM-instrumenten inzet en je deze op een goede manier gebruikt. Mensen veranderen, met andere woorden, als je ze beloont (door salaris, promotie, bonus, goede beoordeling) of ‘ straft’ (door demotie, slechte beoordeling).</w:t>
      </w:r>
    </w:p>
    <w:p w14:paraId="7F6B8356"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 </w:t>
      </w:r>
    </w:p>
    <w:p w14:paraId="5A9A8635"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Bij groendrukdenkers liggen veranderen en leren als begrippen dicht tegen elkaar aan. Mensen veranderen als ze gemotiveerd zijn om te leren, als ze in leersituaties worden gebracht en als hen effectieve wegen worden aangereikt om andere manier van doen te leren.</w:t>
      </w:r>
    </w:p>
    <w:p w14:paraId="751B84C7"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 </w:t>
      </w:r>
    </w:p>
    <w:p w14:paraId="3BC1CB37"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Bij witdrukdenkers is het beeld dat alles (autonoom, als vanzelf) in verandering is. Panta rhei: alles stroomt. Waar energie zit, veranderen er dingen. Complexiteit wordt als verrijkend, niet als verstorend opgevat. Beïnvloeden van de dynamiek is een favoriete aanpak. Het gaat meer om verandering mogelijk maken, te zoeken naar de kiemen voor vernieuwing en creativiteit, dan om te sturen of te richten. Zingeving is sturend.</w:t>
      </w:r>
    </w:p>
    <w:p w14:paraId="149DDFD0"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 </w:t>
      </w:r>
    </w:p>
    <w:p w14:paraId="079FF872"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De Caluwé noemt geel en blauw ‘oorlogskleuren’  en rood, groen en wit ‘vredeskleuren’.</w:t>
      </w:r>
    </w:p>
    <w:p w14:paraId="1F0AE4A3"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 </w:t>
      </w:r>
    </w:p>
    <w:p w14:paraId="7FF21608"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Het kleurendenken kent de volgende toepassingsmogelijkheden:</w:t>
      </w:r>
    </w:p>
    <w:p w14:paraId="0544226D" w14:textId="77777777" w:rsidR="009F691E" w:rsidRPr="00BA75F8" w:rsidRDefault="009F691E" w:rsidP="009F691E">
      <w:pPr>
        <w:widowControl w:val="0"/>
        <w:autoSpaceDE w:val="0"/>
        <w:autoSpaceDN w:val="0"/>
        <w:adjustRightInd w:val="0"/>
        <w:ind w:left="480" w:hanging="480"/>
        <w:rPr>
          <w:rFonts w:ascii="Arial" w:hAnsi="Arial" w:cs="Arial"/>
        </w:rPr>
      </w:pPr>
      <w:r w:rsidRPr="00BA75F8">
        <w:rPr>
          <w:rFonts w:ascii="Arial" w:hAnsi="Arial" w:cs="Arial"/>
        </w:rPr>
        <w:t>·         mensen en situaties zijn er mee te typeren;</w:t>
      </w:r>
    </w:p>
    <w:p w14:paraId="21E96A45" w14:textId="6AB165B7" w:rsidR="009F691E" w:rsidRPr="00BA75F8" w:rsidRDefault="009F691E" w:rsidP="009F691E">
      <w:pPr>
        <w:widowControl w:val="0"/>
        <w:autoSpaceDE w:val="0"/>
        <w:autoSpaceDN w:val="0"/>
        <w:adjustRightInd w:val="0"/>
        <w:ind w:left="480" w:hanging="480"/>
        <w:rPr>
          <w:rFonts w:ascii="Arial" w:hAnsi="Arial" w:cs="Arial"/>
        </w:rPr>
      </w:pPr>
      <w:r w:rsidRPr="00BA75F8">
        <w:rPr>
          <w:rFonts w:ascii="Arial" w:hAnsi="Arial" w:cs="Arial"/>
        </w:rPr>
        <w:t>·         met de kleuren kan men een diagnose stellen en kan tevens een aanpak met</w:t>
      </w:r>
      <w:r w:rsidR="00BA75F8">
        <w:rPr>
          <w:rFonts w:ascii="Arial" w:hAnsi="Arial" w:cs="Arial"/>
        </w:rPr>
        <w:br/>
      </w:r>
      <w:r w:rsidRPr="00BA75F8">
        <w:rPr>
          <w:rFonts w:ascii="Arial" w:hAnsi="Arial" w:cs="Arial"/>
        </w:rPr>
        <w:t xml:space="preserve"> </w:t>
      </w:r>
      <w:r w:rsidR="00BA75F8">
        <w:rPr>
          <w:rFonts w:ascii="Arial" w:hAnsi="Arial" w:cs="Arial"/>
        </w:rPr>
        <w:t xml:space="preserve">  </w:t>
      </w:r>
      <w:r w:rsidRPr="00BA75F8">
        <w:rPr>
          <w:rFonts w:ascii="Arial" w:hAnsi="Arial" w:cs="Arial"/>
        </w:rPr>
        <w:t>bijbehorende ingrepen (interventies) worden ontworpen;</w:t>
      </w:r>
    </w:p>
    <w:p w14:paraId="129E9529" w14:textId="329812BF" w:rsidR="009F691E" w:rsidRPr="00BA75F8" w:rsidRDefault="009F691E" w:rsidP="009F691E">
      <w:pPr>
        <w:widowControl w:val="0"/>
        <w:autoSpaceDE w:val="0"/>
        <w:autoSpaceDN w:val="0"/>
        <w:adjustRightInd w:val="0"/>
        <w:ind w:left="480" w:hanging="480"/>
        <w:rPr>
          <w:rFonts w:ascii="Arial" w:hAnsi="Arial" w:cs="Arial"/>
        </w:rPr>
      </w:pPr>
      <w:r w:rsidRPr="00BA75F8">
        <w:rPr>
          <w:rFonts w:ascii="Arial" w:hAnsi="Arial" w:cs="Arial"/>
        </w:rPr>
        <w:t>·         mensen kunnen zichzelf ermee typeren (in termen van eigen denkkaders,</w:t>
      </w:r>
      <w:r w:rsidR="00BA75F8">
        <w:rPr>
          <w:rFonts w:ascii="Arial" w:hAnsi="Arial" w:cs="Arial"/>
        </w:rPr>
        <w:br/>
        <w:t xml:space="preserve">  </w:t>
      </w:r>
      <w:r w:rsidRPr="00BA75F8">
        <w:rPr>
          <w:rFonts w:ascii="Arial" w:hAnsi="Arial" w:cs="Arial"/>
        </w:rPr>
        <w:t xml:space="preserve"> voorkeursaanpak, ‘blinde vlekken’ en competenties).</w:t>
      </w:r>
    </w:p>
    <w:p w14:paraId="68CD134B"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 </w:t>
      </w:r>
    </w:p>
    <w:p w14:paraId="1E6A1670"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Voor managers en adviseurs is het dan van belang na te gaan wat in een bepaalde situatie moet gebeuren, welke interventiekleur is gewenst en vooral ook of men dit dan zelf kan doen of juist moet besluiten dit juist niet te doen. In elke kleur is het antwoord anders. Enerzijds gaat het daarbij om waar je sterk in bent, maar anderzijds vooral ook waar je in gelooft. Geloofwaardigheid en effectvol handelen vereist dat probleem, situatievereisten, mensen en benaderingswijzen en eigen aanpak en bekwaamheden bij elkaar passen.</w:t>
      </w:r>
    </w:p>
    <w:p w14:paraId="66EB99A2"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 </w:t>
      </w:r>
    </w:p>
    <w:p w14:paraId="7771B89C"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Soms zijn kleuren ook gecamoufleerd door een anderkleurig taalsausje. Je ziet dan zelfsturende teams (functioneel wit?) als eufemisme voor bazen die verantwoordelijkheden willen dumpen om groepen er later op af te rekenen (disfunctioneel blauw?). Daar liggen misschien ook wel de grootste risico’s voor witte en groene benaderingen: dat ze wel in woorden worden beleden, maar niet in daden tot uiting komen.</w:t>
      </w:r>
    </w:p>
    <w:p w14:paraId="60C433ED"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 </w:t>
      </w:r>
    </w:p>
    <w:p w14:paraId="620903A8" w14:textId="77777777" w:rsidR="009F691E" w:rsidRPr="00BA75F8" w:rsidRDefault="009F691E" w:rsidP="009F691E">
      <w:pPr>
        <w:widowControl w:val="0"/>
        <w:autoSpaceDE w:val="0"/>
        <w:autoSpaceDN w:val="0"/>
        <w:adjustRightInd w:val="0"/>
        <w:rPr>
          <w:rFonts w:ascii="Arial" w:hAnsi="Arial" w:cs="Arial"/>
        </w:rPr>
      </w:pPr>
      <w:r w:rsidRPr="00BA75F8">
        <w:rPr>
          <w:rFonts w:ascii="Arial" w:hAnsi="Arial" w:cs="Arial"/>
        </w:rPr>
        <w:t>Rest nog op te merken dat iedere kleur ook zijn eigen valkuilen kent, zoals weergegeven in onderstaande tabel:</w:t>
      </w:r>
    </w:p>
    <w:p w14:paraId="284521F4" w14:textId="77777777" w:rsidR="00BA75F8" w:rsidRPr="00BA75F8" w:rsidRDefault="00BA75F8" w:rsidP="009F691E">
      <w:pPr>
        <w:widowControl w:val="0"/>
        <w:autoSpaceDE w:val="0"/>
        <w:autoSpaceDN w:val="0"/>
        <w:adjustRightInd w:val="0"/>
        <w:rPr>
          <w:rFonts w:ascii="Arial" w:hAnsi="Arial" w:cs="Arial"/>
        </w:rPr>
      </w:pPr>
    </w:p>
    <w:p w14:paraId="7F3459EA" w14:textId="77777777" w:rsidR="00BA75F8" w:rsidRPr="00BA75F8" w:rsidRDefault="00BA75F8" w:rsidP="009F691E">
      <w:pPr>
        <w:widowControl w:val="0"/>
        <w:autoSpaceDE w:val="0"/>
        <w:autoSpaceDN w:val="0"/>
        <w:adjustRightInd w:val="0"/>
        <w:rPr>
          <w:rFonts w:ascii="Arial" w:hAnsi="Arial" w:cs="Arial"/>
        </w:rPr>
      </w:pPr>
    </w:p>
    <w:p w14:paraId="166A62C4" w14:textId="77777777" w:rsidR="00BA75F8" w:rsidRPr="00BA75F8" w:rsidRDefault="00BA75F8" w:rsidP="009F691E">
      <w:pPr>
        <w:widowControl w:val="0"/>
        <w:autoSpaceDE w:val="0"/>
        <w:autoSpaceDN w:val="0"/>
        <w:adjustRightInd w:val="0"/>
        <w:rPr>
          <w:rFonts w:ascii="Arial" w:hAnsi="Arial" w:cs="Arial"/>
        </w:rPr>
      </w:pPr>
    </w:p>
    <w:p w14:paraId="0A5BBD51" w14:textId="77777777" w:rsidR="00BA75F8" w:rsidRPr="00BA75F8" w:rsidRDefault="00BA75F8" w:rsidP="009F691E">
      <w:pPr>
        <w:widowControl w:val="0"/>
        <w:autoSpaceDE w:val="0"/>
        <w:autoSpaceDN w:val="0"/>
        <w:adjustRightInd w:val="0"/>
        <w:rPr>
          <w:rFonts w:ascii="Arial" w:hAnsi="Arial" w:cs="Arial"/>
        </w:rPr>
      </w:pPr>
    </w:p>
    <w:p w14:paraId="7C7A842B" w14:textId="77777777" w:rsidR="00BA75F8" w:rsidRPr="00BA75F8" w:rsidRDefault="00BA75F8" w:rsidP="009F691E">
      <w:pPr>
        <w:widowControl w:val="0"/>
        <w:autoSpaceDE w:val="0"/>
        <w:autoSpaceDN w:val="0"/>
        <w:adjustRightInd w:val="0"/>
        <w:rPr>
          <w:rFonts w:ascii="Arial" w:hAnsi="Arial" w:cs="Arial"/>
        </w:rPr>
      </w:pPr>
    </w:p>
    <w:p w14:paraId="032D6B39" w14:textId="77777777" w:rsidR="00BA75F8" w:rsidRPr="00BA75F8" w:rsidRDefault="00BA75F8" w:rsidP="009F691E">
      <w:pPr>
        <w:widowControl w:val="0"/>
        <w:autoSpaceDE w:val="0"/>
        <w:autoSpaceDN w:val="0"/>
        <w:adjustRightInd w:val="0"/>
        <w:rPr>
          <w:rFonts w:ascii="Arial" w:hAnsi="Arial" w:cs="Arial"/>
        </w:rPr>
      </w:pPr>
    </w:p>
    <w:p w14:paraId="00771818" w14:textId="77777777" w:rsidR="00BA75F8" w:rsidRPr="00BA75F8" w:rsidRDefault="00BA75F8" w:rsidP="009F691E">
      <w:pPr>
        <w:widowControl w:val="0"/>
        <w:autoSpaceDE w:val="0"/>
        <w:autoSpaceDN w:val="0"/>
        <w:adjustRightInd w:val="0"/>
        <w:rPr>
          <w:rFonts w:ascii="Arial" w:hAnsi="Arial" w:cs="Arial"/>
        </w:rPr>
      </w:pPr>
    </w:p>
    <w:p w14:paraId="0EDE27D7" w14:textId="77777777" w:rsidR="009F691E" w:rsidRPr="00BA75F8" w:rsidRDefault="009F691E" w:rsidP="009F691E">
      <w:pPr>
        <w:widowControl w:val="0"/>
        <w:autoSpaceDE w:val="0"/>
        <w:autoSpaceDN w:val="0"/>
        <w:adjustRightInd w:val="0"/>
        <w:rPr>
          <w:rFonts w:ascii="Arial" w:hAnsi="Arial" w:cs="Arial"/>
          <w:sz w:val="26"/>
          <w:szCs w:val="26"/>
        </w:rPr>
      </w:pPr>
      <w:r w:rsidRPr="00BA75F8">
        <w:rPr>
          <w:rFonts w:ascii="Verdana" w:hAnsi="Verdana" w:cs="Verdana"/>
          <w:sz w:val="26"/>
          <w:szCs w:val="26"/>
        </w:rPr>
        <w:t> </w:t>
      </w:r>
    </w:p>
    <w:tbl>
      <w:tblPr>
        <w:tblW w:w="10581" w:type="dxa"/>
        <w:tblBorders>
          <w:top w:val="nil"/>
          <w:left w:val="nil"/>
          <w:right w:val="nil"/>
        </w:tblBorders>
        <w:tblLayout w:type="fixed"/>
        <w:tblLook w:val="0000" w:firstRow="0" w:lastRow="0" w:firstColumn="0" w:lastColumn="0" w:noHBand="0" w:noVBand="0"/>
      </w:tblPr>
      <w:tblGrid>
        <w:gridCol w:w="1101"/>
        <w:gridCol w:w="9480"/>
      </w:tblGrid>
      <w:tr w:rsidR="009F691E" w:rsidRPr="00BA75F8" w14:paraId="714CB412" w14:textId="77777777" w:rsidTr="009F691E">
        <w:tblPrEx>
          <w:tblCellMar>
            <w:top w:w="0" w:type="dxa"/>
            <w:bottom w:w="0" w:type="dxa"/>
          </w:tblCellMar>
        </w:tblPrEx>
        <w:tc>
          <w:tcPr>
            <w:tcW w:w="1101" w:type="dxa"/>
            <w:shd w:val="clear" w:color="auto" w:fill="89BFFF"/>
            <w:tcMar>
              <w:top w:w="140" w:type="nil"/>
              <w:right w:w="140" w:type="nil"/>
            </w:tcMar>
          </w:tcPr>
          <w:p w14:paraId="7BAB147B" w14:textId="77777777" w:rsidR="009F691E" w:rsidRPr="00BA75F8" w:rsidRDefault="009F691E">
            <w:pPr>
              <w:widowControl w:val="0"/>
              <w:autoSpaceDE w:val="0"/>
              <w:autoSpaceDN w:val="0"/>
              <w:adjustRightInd w:val="0"/>
              <w:rPr>
                <w:rFonts w:ascii="Arial" w:hAnsi="Arial" w:cs="Arial"/>
                <w:sz w:val="32"/>
                <w:szCs w:val="32"/>
              </w:rPr>
            </w:pPr>
            <w:r w:rsidRPr="00BA75F8">
              <w:rPr>
                <w:rFonts w:ascii="Verdana" w:hAnsi="Verdana" w:cs="Verdana"/>
                <w:b/>
                <w:bCs/>
                <w:sz w:val="26"/>
                <w:szCs w:val="26"/>
              </w:rPr>
              <w:t>Kleur</w:t>
            </w:r>
          </w:p>
        </w:tc>
        <w:tc>
          <w:tcPr>
            <w:tcW w:w="9480" w:type="dxa"/>
            <w:shd w:val="clear" w:color="auto" w:fill="89BFFF"/>
            <w:tcMar>
              <w:top w:w="140" w:type="nil"/>
              <w:right w:w="140" w:type="nil"/>
            </w:tcMar>
          </w:tcPr>
          <w:p w14:paraId="6D3DA76B" w14:textId="77777777" w:rsidR="009F691E" w:rsidRPr="00BA75F8" w:rsidRDefault="009F691E">
            <w:pPr>
              <w:widowControl w:val="0"/>
              <w:autoSpaceDE w:val="0"/>
              <w:autoSpaceDN w:val="0"/>
              <w:adjustRightInd w:val="0"/>
              <w:rPr>
                <w:rFonts w:ascii="Arial" w:hAnsi="Arial" w:cs="Arial"/>
                <w:sz w:val="32"/>
                <w:szCs w:val="32"/>
              </w:rPr>
            </w:pPr>
            <w:r w:rsidRPr="00BA75F8">
              <w:rPr>
                <w:rFonts w:ascii="Verdana" w:hAnsi="Verdana" w:cs="Verdana"/>
                <w:b/>
                <w:bCs/>
                <w:sz w:val="26"/>
                <w:szCs w:val="26"/>
              </w:rPr>
              <w:t>Valkuilen</w:t>
            </w:r>
          </w:p>
        </w:tc>
      </w:tr>
      <w:tr w:rsidR="009F691E" w:rsidRPr="00BA75F8" w14:paraId="41D9B14E" w14:textId="77777777" w:rsidTr="009F691E">
        <w:tblPrEx>
          <w:tblBorders>
            <w:top w:val="none" w:sz="0" w:space="0" w:color="auto"/>
          </w:tblBorders>
          <w:tblCellMar>
            <w:top w:w="0" w:type="dxa"/>
            <w:bottom w:w="0" w:type="dxa"/>
          </w:tblCellMar>
        </w:tblPrEx>
        <w:tc>
          <w:tcPr>
            <w:tcW w:w="1101" w:type="dxa"/>
            <w:tcMar>
              <w:top w:w="140" w:type="nil"/>
              <w:right w:w="140" w:type="nil"/>
            </w:tcMar>
          </w:tcPr>
          <w:p w14:paraId="26A50EA7" w14:textId="77777777" w:rsidR="009F691E" w:rsidRPr="00BA75F8" w:rsidRDefault="009F691E">
            <w:pPr>
              <w:widowControl w:val="0"/>
              <w:autoSpaceDE w:val="0"/>
              <w:autoSpaceDN w:val="0"/>
              <w:adjustRightInd w:val="0"/>
              <w:rPr>
                <w:rFonts w:ascii="Arial" w:hAnsi="Arial" w:cs="Arial"/>
                <w:sz w:val="32"/>
                <w:szCs w:val="32"/>
              </w:rPr>
            </w:pPr>
            <w:r w:rsidRPr="00BA75F8">
              <w:rPr>
                <w:rFonts w:ascii="Verdana" w:hAnsi="Verdana" w:cs="Verdana"/>
                <w:sz w:val="26"/>
                <w:szCs w:val="26"/>
              </w:rPr>
              <w:t>geel</w:t>
            </w:r>
          </w:p>
        </w:tc>
        <w:tc>
          <w:tcPr>
            <w:tcW w:w="9480" w:type="dxa"/>
            <w:tcMar>
              <w:top w:w="140" w:type="nil"/>
              <w:right w:w="140" w:type="nil"/>
            </w:tcMar>
          </w:tcPr>
          <w:p w14:paraId="252FD6BD" w14:textId="77777777" w:rsidR="009F691E" w:rsidRPr="00BA75F8" w:rsidRDefault="009F691E" w:rsidP="009F691E">
            <w:pPr>
              <w:widowControl w:val="0"/>
              <w:autoSpaceDE w:val="0"/>
              <w:autoSpaceDN w:val="0"/>
              <w:adjustRightInd w:val="0"/>
              <w:rPr>
                <w:rFonts w:ascii="Arial" w:hAnsi="Arial" w:cs="Arial"/>
                <w:sz w:val="32"/>
                <w:szCs w:val="32"/>
              </w:rPr>
            </w:pPr>
            <w:r w:rsidRPr="00BA75F8">
              <w:rPr>
                <w:rFonts w:ascii="Symbol" w:hAnsi="Symbol" w:cs="Symbol" w:hint="eastAsia"/>
                <w:sz w:val="26"/>
                <w:szCs w:val="26"/>
              </w:rPr>
              <w:t>·</w:t>
            </w:r>
            <w:r w:rsidRPr="00BA75F8">
              <w:rPr>
                <w:rFonts w:ascii="Times New Roman" w:hAnsi="Times New Roman" w:cs="Times New Roman"/>
                <w:sz w:val="18"/>
                <w:szCs w:val="18"/>
              </w:rPr>
              <w:t xml:space="preserve">         </w:t>
            </w:r>
            <w:r w:rsidRPr="00BA75F8">
              <w:rPr>
                <w:rFonts w:ascii="Verdana" w:hAnsi="Verdana" w:cs="Verdana"/>
                <w:sz w:val="26"/>
                <w:szCs w:val="26"/>
              </w:rPr>
              <w:t>luchtfietserij</w:t>
            </w:r>
          </w:p>
          <w:p w14:paraId="374DE1BC" w14:textId="77777777" w:rsidR="009F691E" w:rsidRPr="00BA75F8" w:rsidRDefault="009F691E">
            <w:pPr>
              <w:widowControl w:val="0"/>
              <w:autoSpaceDE w:val="0"/>
              <w:autoSpaceDN w:val="0"/>
              <w:adjustRightInd w:val="0"/>
              <w:ind w:left="480" w:hanging="480"/>
              <w:rPr>
                <w:rFonts w:ascii="Arial" w:hAnsi="Arial" w:cs="Arial"/>
                <w:sz w:val="32"/>
                <w:szCs w:val="32"/>
              </w:rPr>
            </w:pPr>
            <w:r w:rsidRPr="00BA75F8">
              <w:rPr>
                <w:rFonts w:ascii="Symbol" w:hAnsi="Symbol" w:cs="Symbol" w:hint="eastAsia"/>
                <w:sz w:val="26"/>
                <w:szCs w:val="26"/>
              </w:rPr>
              <w:t>·</w:t>
            </w:r>
            <w:r w:rsidRPr="00BA75F8">
              <w:rPr>
                <w:rFonts w:ascii="Times New Roman" w:hAnsi="Times New Roman" w:cs="Times New Roman"/>
                <w:sz w:val="18"/>
                <w:szCs w:val="18"/>
              </w:rPr>
              <w:t xml:space="preserve">         </w:t>
            </w:r>
            <w:r w:rsidRPr="00BA75F8">
              <w:rPr>
                <w:rFonts w:ascii="Verdana" w:hAnsi="Verdana" w:cs="Verdana"/>
                <w:sz w:val="26"/>
                <w:szCs w:val="26"/>
              </w:rPr>
              <w:t>machtsstrijd (lose/lose)</w:t>
            </w:r>
          </w:p>
        </w:tc>
      </w:tr>
      <w:tr w:rsidR="009F691E" w:rsidRPr="00BA75F8" w14:paraId="14F77974" w14:textId="77777777" w:rsidTr="009F691E">
        <w:tblPrEx>
          <w:tblBorders>
            <w:top w:val="none" w:sz="0" w:space="0" w:color="auto"/>
          </w:tblBorders>
          <w:tblCellMar>
            <w:top w:w="0" w:type="dxa"/>
            <w:bottom w:w="0" w:type="dxa"/>
          </w:tblCellMar>
        </w:tblPrEx>
        <w:tc>
          <w:tcPr>
            <w:tcW w:w="1101" w:type="dxa"/>
            <w:tcMar>
              <w:top w:w="140" w:type="nil"/>
              <w:right w:w="140" w:type="nil"/>
            </w:tcMar>
          </w:tcPr>
          <w:p w14:paraId="5773C62A" w14:textId="77777777" w:rsidR="009F691E" w:rsidRPr="00BA75F8" w:rsidRDefault="009F691E">
            <w:pPr>
              <w:widowControl w:val="0"/>
              <w:autoSpaceDE w:val="0"/>
              <w:autoSpaceDN w:val="0"/>
              <w:adjustRightInd w:val="0"/>
              <w:rPr>
                <w:rFonts w:ascii="Arial" w:hAnsi="Arial" w:cs="Arial"/>
                <w:sz w:val="32"/>
                <w:szCs w:val="32"/>
              </w:rPr>
            </w:pPr>
            <w:r w:rsidRPr="00BA75F8">
              <w:rPr>
                <w:rFonts w:ascii="Verdana" w:hAnsi="Verdana" w:cs="Verdana"/>
                <w:sz w:val="26"/>
                <w:szCs w:val="26"/>
              </w:rPr>
              <w:t>blauw</w:t>
            </w:r>
          </w:p>
        </w:tc>
        <w:tc>
          <w:tcPr>
            <w:tcW w:w="9480" w:type="dxa"/>
            <w:tcMar>
              <w:top w:w="140" w:type="nil"/>
              <w:right w:w="140" w:type="nil"/>
            </w:tcMar>
          </w:tcPr>
          <w:p w14:paraId="0F862861" w14:textId="77777777" w:rsidR="009F691E" w:rsidRPr="00BA75F8" w:rsidRDefault="009F691E">
            <w:pPr>
              <w:widowControl w:val="0"/>
              <w:autoSpaceDE w:val="0"/>
              <w:autoSpaceDN w:val="0"/>
              <w:adjustRightInd w:val="0"/>
              <w:ind w:left="480" w:hanging="480"/>
              <w:rPr>
                <w:rFonts w:ascii="Arial" w:hAnsi="Arial" w:cs="Arial"/>
                <w:sz w:val="32"/>
                <w:szCs w:val="32"/>
              </w:rPr>
            </w:pPr>
            <w:r w:rsidRPr="00BA75F8">
              <w:rPr>
                <w:rFonts w:ascii="Symbol" w:hAnsi="Symbol" w:cs="Symbol" w:hint="eastAsia"/>
                <w:sz w:val="26"/>
                <w:szCs w:val="26"/>
              </w:rPr>
              <w:t>·</w:t>
            </w:r>
            <w:r w:rsidRPr="00BA75F8">
              <w:rPr>
                <w:rFonts w:ascii="Times New Roman" w:hAnsi="Times New Roman" w:cs="Times New Roman"/>
                <w:sz w:val="18"/>
                <w:szCs w:val="18"/>
              </w:rPr>
              <w:t xml:space="preserve">         </w:t>
            </w:r>
            <w:r w:rsidRPr="00BA75F8">
              <w:rPr>
                <w:rFonts w:ascii="Verdana" w:hAnsi="Verdana" w:cs="Verdana"/>
                <w:sz w:val="26"/>
                <w:szCs w:val="26"/>
              </w:rPr>
              <w:t>over mensen heen walsen</w:t>
            </w:r>
          </w:p>
          <w:p w14:paraId="28C7D307" w14:textId="77777777" w:rsidR="009F691E" w:rsidRPr="00BA75F8" w:rsidRDefault="009F691E">
            <w:pPr>
              <w:widowControl w:val="0"/>
              <w:autoSpaceDE w:val="0"/>
              <w:autoSpaceDN w:val="0"/>
              <w:adjustRightInd w:val="0"/>
              <w:ind w:left="480" w:hanging="480"/>
              <w:rPr>
                <w:rFonts w:ascii="Arial" w:hAnsi="Arial" w:cs="Arial"/>
                <w:sz w:val="32"/>
                <w:szCs w:val="32"/>
              </w:rPr>
            </w:pPr>
            <w:r w:rsidRPr="00BA75F8">
              <w:rPr>
                <w:rFonts w:ascii="Symbol" w:hAnsi="Symbol" w:cs="Symbol" w:hint="eastAsia"/>
                <w:sz w:val="26"/>
                <w:szCs w:val="26"/>
              </w:rPr>
              <w:t>·</w:t>
            </w:r>
            <w:r w:rsidRPr="00BA75F8">
              <w:rPr>
                <w:rFonts w:ascii="Times New Roman" w:hAnsi="Times New Roman" w:cs="Times New Roman"/>
                <w:sz w:val="18"/>
                <w:szCs w:val="18"/>
              </w:rPr>
              <w:t xml:space="preserve">         </w:t>
            </w:r>
            <w:r w:rsidRPr="00BA75F8">
              <w:rPr>
                <w:rFonts w:ascii="Verdana" w:hAnsi="Verdana" w:cs="Verdana"/>
                <w:sz w:val="26"/>
                <w:szCs w:val="26"/>
              </w:rPr>
              <w:t>irrationele en externe aspecten negeren</w:t>
            </w:r>
          </w:p>
        </w:tc>
      </w:tr>
      <w:tr w:rsidR="009F691E" w:rsidRPr="00BA75F8" w14:paraId="0274416D" w14:textId="77777777" w:rsidTr="009F691E">
        <w:tblPrEx>
          <w:tblBorders>
            <w:top w:val="none" w:sz="0" w:space="0" w:color="auto"/>
          </w:tblBorders>
          <w:tblCellMar>
            <w:top w:w="0" w:type="dxa"/>
            <w:bottom w:w="0" w:type="dxa"/>
          </w:tblCellMar>
        </w:tblPrEx>
        <w:tc>
          <w:tcPr>
            <w:tcW w:w="1101" w:type="dxa"/>
            <w:tcMar>
              <w:top w:w="140" w:type="nil"/>
              <w:right w:w="140" w:type="nil"/>
            </w:tcMar>
          </w:tcPr>
          <w:p w14:paraId="74FB1CAC" w14:textId="77777777" w:rsidR="009F691E" w:rsidRPr="00BA75F8" w:rsidRDefault="009F691E">
            <w:pPr>
              <w:widowControl w:val="0"/>
              <w:autoSpaceDE w:val="0"/>
              <w:autoSpaceDN w:val="0"/>
              <w:adjustRightInd w:val="0"/>
              <w:rPr>
                <w:rFonts w:ascii="Arial" w:hAnsi="Arial" w:cs="Arial"/>
                <w:sz w:val="32"/>
                <w:szCs w:val="32"/>
              </w:rPr>
            </w:pPr>
            <w:r w:rsidRPr="00BA75F8">
              <w:rPr>
                <w:rFonts w:ascii="Verdana" w:hAnsi="Verdana" w:cs="Verdana"/>
                <w:sz w:val="26"/>
                <w:szCs w:val="26"/>
              </w:rPr>
              <w:t>rood</w:t>
            </w:r>
          </w:p>
        </w:tc>
        <w:tc>
          <w:tcPr>
            <w:tcW w:w="9480" w:type="dxa"/>
            <w:tcMar>
              <w:top w:w="140" w:type="nil"/>
              <w:right w:w="140" w:type="nil"/>
            </w:tcMar>
          </w:tcPr>
          <w:p w14:paraId="6087E1E7" w14:textId="77777777" w:rsidR="009F691E" w:rsidRPr="00BA75F8" w:rsidRDefault="009F691E">
            <w:pPr>
              <w:widowControl w:val="0"/>
              <w:autoSpaceDE w:val="0"/>
              <w:autoSpaceDN w:val="0"/>
              <w:adjustRightInd w:val="0"/>
              <w:ind w:left="480" w:hanging="480"/>
              <w:rPr>
                <w:rFonts w:ascii="Arial" w:hAnsi="Arial" w:cs="Arial"/>
                <w:sz w:val="32"/>
                <w:szCs w:val="32"/>
              </w:rPr>
            </w:pPr>
            <w:r w:rsidRPr="00BA75F8">
              <w:rPr>
                <w:rFonts w:ascii="Symbol" w:hAnsi="Symbol" w:cs="Symbol" w:hint="eastAsia"/>
                <w:sz w:val="26"/>
                <w:szCs w:val="26"/>
              </w:rPr>
              <w:t>·</w:t>
            </w:r>
            <w:r w:rsidRPr="00BA75F8">
              <w:rPr>
                <w:rFonts w:ascii="Times New Roman" w:hAnsi="Times New Roman" w:cs="Times New Roman"/>
                <w:sz w:val="18"/>
                <w:szCs w:val="18"/>
              </w:rPr>
              <w:t xml:space="preserve">         </w:t>
            </w:r>
            <w:r w:rsidRPr="00BA75F8">
              <w:rPr>
                <w:rFonts w:ascii="Verdana" w:hAnsi="Verdana" w:cs="Verdana"/>
                <w:sz w:val="26"/>
                <w:szCs w:val="26"/>
              </w:rPr>
              <w:t>zachte heelmeesters …</w:t>
            </w:r>
          </w:p>
          <w:p w14:paraId="57F238A7" w14:textId="77777777" w:rsidR="009F691E" w:rsidRPr="00BA75F8" w:rsidRDefault="009F691E">
            <w:pPr>
              <w:widowControl w:val="0"/>
              <w:autoSpaceDE w:val="0"/>
              <w:autoSpaceDN w:val="0"/>
              <w:adjustRightInd w:val="0"/>
              <w:ind w:left="480" w:hanging="480"/>
              <w:rPr>
                <w:rFonts w:ascii="Arial" w:hAnsi="Arial" w:cs="Arial"/>
                <w:sz w:val="32"/>
                <w:szCs w:val="32"/>
              </w:rPr>
            </w:pPr>
            <w:r w:rsidRPr="00BA75F8">
              <w:rPr>
                <w:rFonts w:ascii="Symbol" w:hAnsi="Symbol" w:cs="Symbol" w:hint="eastAsia"/>
                <w:sz w:val="26"/>
                <w:szCs w:val="26"/>
              </w:rPr>
              <w:t>·</w:t>
            </w:r>
            <w:r w:rsidRPr="00BA75F8">
              <w:rPr>
                <w:rFonts w:ascii="Times New Roman" w:hAnsi="Times New Roman" w:cs="Times New Roman"/>
                <w:sz w:val="18"/>
                <w:szCs w:val="18"/>
              </w:rPr>
              <w:t xml:space="preserve">         </w:t>
            </w:r>
            <w:r w:rsidRPr="00BA75F8">
              <w:rPr>
                <w:rFonts w:ascii="Verdana" w:hAnsi="Verdana" w:cs="Verdana"/>
                <w:sz w:val="26"/>
                <w:szCs w:val="26"/>
              </w:rPr>
              <w:t>negeren van machtsspel, verstikken van het bijzondere individu</w:t>
            </w:r>
          </w:p>
        </w:tc>
      </w:tr>
      <w:tr w:rsidR="009F691E" w:rsidRPr="00BA75F8" w14:paraId="7D695409" w14:textId="77777777" w:rsidTr="009F691E">
        <w:tblPrEx>
          <w:tblBorders>
            <w:top w:val="none" w:sz="0" w:space="0" w:color="auto"/>
          </w:tblBorders>
          <w:tblCellMar>
            <w:top w:w="0" w:type="dxa"/>
            <w:bottom w:w="0" w:type="dxa"/>
          </w:tblCellMar>
        </w:tblPrEx>
        <w:tc>
          <w:tcPr>
            <w:tcW w:w="1101" w:type="dxa"/>
            <w:tcMar>
              <w:top w:w="140" w:type="nil"/>
              <w:right w:w="140" w:type="nil"/>
            </w:tcMar>
          </w:tcPr>
          <w:p w14:paraId="40FEB582" w14:textId="77777777" w:rsidR="009F691E" w:rsidRPr="00BA75F8" w:rsidRDefault="009F691E">
            <w:pPr>
              <w:widowControl w:val="0"/>
              <w:autoSpaceDE w:val="0"/>
              <w:autoSpaceDN w:val="0"/>
              <w:adjustRightInd w:val="0"/>
              <w:rPr>
                <w:rFonts w:ascii="Arial" w:hAnsi="Arial" w:cs="Arial"/>
                <w:sz w:val="32"/>
                <w:szCs w:val="32"/>
              </w:rPr>
            </w:pPr>
            <w:r w:rsidRPr="00BA75F8">
              <w:rPr>
                <w:rFonts w:ascii="Verdana" w:hAnsi="Verdana" w:cs="Verdana"/>
                <w:sz w:val="26"/>
                <w:szCs w:val="26"/>
              </w:rPr>
              <w:t>groen</w:t>
            </w:r>
          </w:p>
        </w:tc>
        <w:tc>
          <w:tcPr>
            <w:tcW w:w="9480" w:type="dxa"/>
            <w:tcMar>
              <w:top w:w="140" w:type="nil"/>
              <w:right w:w="140" w:type="nil"/>
            </w:tcMar>
          </w:tcPr>
          <w:p w14:paraId="06861DF0" w14:textId="77777777" w:rsidR="009F691E" w:rsidRPr="00BA75F8" w:rsidRDefault="009F691E">
            <w:pPr>
              <w:widowControl w:val="0"/>
              <w:autoSpaceDE w:val="0"/>
              <w:autoSpaceDN w:val="0"/>
              <w:adjustRightInd w:val="0"/>
              <w:ind w:left="480" w:hanging="480"/>
              <w:rPr>
                <w:rFonts w:ascii="Arial" w:hAnsi="Arial" w:cs="Arial"/>
                <w:sz w:val="32"/>
                <w:szCs w:val="32"/>
              </w:rPr>
            </w:pPr>
            <w:r w:rsidRPr="00BA75F8">
              <w:rPr>
                <w:rFonts w:ascii="Symbol" w:hAnsi="Symbol" w:cs="Symbol" w:hint="eastAsia"/>
                <w:sz w:val="26"/>
                <w:szCs w:val="26"/>
              </w:rPr>
              <w:t>·</w:t>
            </w:r>
            <w:r w:rsidRPr="00BA75F8">
              <w:rPr>
                <w:rFonts w:ascii="Times New Roman" w:hAnsi="Times New Roman" w:cs="Times New Roman"/>
                <w:sz w:val="18"/>
                <w:szCs w:val="18"/>
              </w:rPr>
              <w:t xml:space="preserve">         </w:t>
            </w:r>
            <w:r w:rsidRPr="00BA75F8">
              <w:rPr>
                <w:rFonts w:ascii="Verdana" w:hAnsi="Verdana" w:cs="Verdana"/>
                <w:sz w:val="26"/>
                <w:szCs w:val="26"/>
              </w:rPr>
              <w:t>ontkennen dat niet iedereen alles wil of kan leren</w:t>
            </w:r>
          </w:p>
          <w:p w14:paraId="62374545" w14:textId="77777777" w:rsidR="009F691E" w:rsidRPr="00BA75F8" w:rsidRDefault="009F691E">
            <w:pPr>
              <w:widowControl w:val="0"/>
              <w:autoSpaceDE w:val="0"/>
              <w:autoSpaceDN w:val="0"/>
              <w:adjustRightInd w:val="0"/>
              <w:ind w:left="480" w:hanging="480"/>
              <w:rPr>
                <w:rFonts w:ascii="Arial" w:hAnsi="Arial" w:cs="Arial"/>
                <w:sz w:val="32"/>
                <w:szCs w:val="32"/>
              </w:rPr>
            </w:pPr>
            <w:r w:rsidRPr="00BA75F8">
              <w:rPr>
                <w:rFonts w:ascii="Symbol" w:hAnsi="Symbol" w:cs="Symbol" w:hint="eastAsia"/>
                <w:sz w:val="26"/>
                <w:szCs w:val="26"/>
              </w:rPr>
              <w:t>·</w:t>
            </w:r>
            <w:r w:rsidRPr="00BA75F8">
              <w:rPr>
                <w:rFonts w:ascii="Times New Roman" w:hAnsi="Times New Roman" w:cs="Times New Roman"/>
                <w:sz w:val="18"/>
                <w:szCs w:val="18"/>
              </w:rPr>
              <w:t xml:space="preserve">         </w:t>
            </w:r>
            <w:r w:rsidRPr="00BA75F8">
              <w:rPr>
                <w:rFonts w:ascii="Verdana" w:hAnsi="Verdana" w:cs="Verdana"/>
                <w:sz w:val="26"/>
                <w:szCs w:val="26"/>
              </w:rPr>
              <w:t>geen prioritering, gebrek aan actie</w:t>
            </w:r>
          </w:p>
        </w:tc>
      </w:tr>
      <w:tr w:rsidR="009F691E" w:rsidRPr="00BA75F8" w14:paraId="11D30C8E" w14:textId="77777777" w:rsidTr="009F691E">
        <w:tblPrEx>
          <w:tblCellMar>
            <w:top w:w="0" w:type="dxa"/>
            <w:bottom w:w="0" w:type="dxa"/>
          </w:tblCellMar>
        </w:tblPrEx>
        <w:tc>
          <w:tcPr>
            <w:tcW w:w="1101" w:type="dxa"/>
            <w:tcMar>
              <w:top w:w="140" w:type="nil"/>
              <w:right w:w="140" w:type="nil"/>
            </w:tcMar>
          </w:tcPr>
          <w:p w14:paraId="4CC9D3A8" w14:textId="77777777" w:rsidR="009F691E" w:rsidRPr="00BA75F8" w:rsidRDefault="009F691E">
            <w:pPr>
              <w:widowControl w:val="0"/>
              <w:autoSpaceDE w:val="0"/>
              <w:autoSpaceDN w:val="0"/>
              <w:adjustRightInd w:val="0"/>
              <w:rPr>
                <w:rFonts w:ascii="Arial" w:hAnsi="Arial" w:cs="Arial"/>
                <w:sz w:val="32"/>
                <w:szCs w:val="32"/>
              </w:rPr>
            </w:pPr>
            <w:r w:rsidRPr="00BA75F8">
              <w:rPr>
                <w:rFonts w:ascii="Verdana" w:hAnsi="Verdana" w:cs="Verdana"/>
                <w:sz w:val="26"/>
                <w:szCs w:val="26"/>
              </w:rPr>
              <w:t>wit</w:t>
            </w:r>
          </w:p>
        </w:tc>
        <w:tc>
          <w:tcPr>
            <w:tcW w:w="9480" w:type="dxa"/>
            <w:tcMar>
              <w:top w:w="140" w:type="nil"/>
              <w:right w:w="140" w:type="nil"/>
            </w:tcMar>
          </w:tcPr>
          <w:p w14:paraId="75C9AD91" w14:textId="77777777" w:rsidR="009F691E" w:rsidRPr="00BA75F8" w:rsidRDefault="009F691E">
            <w:pPr>
              <w:widowControl w:val="0"/>
              <w:autoSpaceDE w:val="0"/>
              <w:autoSpaceDN w:val="0"/>
              <w:adjustRightInd w:val="0"/>
              <w:ind w:left="480" w:hanging="480"/>
              <w:rPr>
                <w:rFonts w:ascii="Arial" w:hAnsi="Arial" w:cs="Arial"/>
                <w:sz w:val="32"/>
                <w:szCs w:val="32"/>
              </w:rPr>
            </w:pPr>
            <w:r w:rsidRPr="00BA75F8">
              <w:rPr>
                <w:rFonts w:ascii="Symbol" w:hAnsi="Symbol" w:cs="Symbol" w:hint="eastAsia"/>
                <w:sz w:val="26"/>
                <w:szCs w:val="26"/>
              </w:rPr>
              <w:t>·</w:t>
            </w:r>
            <w:r w:rsidRPr="00BA75F8">
              <w:rPr>
                <w:rFonts w:ascii="Times New Roman" w:hAnsi="Times New Roman" w:cs="Times New Roman"/>
                <w:sz w:val="18"/>
                <w:szCs w:val="18"/>
              </w:rPr>
              <w:t xml:space="preserve">         </w:t>
            </w:r>
            <w:r w:rsidRPr="00BA75F8">
              <w:rPr>
                <w:rFonts w:ascii="Verdana" w:hAnsi="Verdana" w:cs="Verdana"/>
                <w:sz w:val="26"/>
                <w:szCs w:val="26"/>
              </w:rPr>
              <w:t>onvoldoende inzicht in drijvende krachten</w:t>
            </w:r>
          </w:p>
          <w:p w14:paraId="55149633" w14:textId="77777777" w:rsidR="009F691E" w:rsidRPr="00BA75F8" w:rsidRDefault="009F691E">
            <w:pPr>
              <w:widowControl w:val="0"/>
              <w:autoSpaceDE w:val="0"/>
              <w:autoSpaceDN w:val="0"/>
              <w:adjustRightInd w:val="0"/>
              <w:ind w:left="480" w:hanging="480"/>
              <w:rPr>
                <w:rFonts w:ascii="Arial" w:hAnsi="Arial" w:cs="Arial"/>
                <w:sz w:val="32"/>
                <w:szCs w:val="32"/>
              </w:rPr>
            </w:pPr>
            <w:r w:rsidRPr="00BA75F8">
              <w:rPr>
                <w:rFonts w:ascii="Symbol" w:hAnsi="Symbol" w:cs="Symbol" w:hint="eastAsia"/>
                <w:sz w:val="26"/>
                <w:szCs w:val="26"/>
              </w:rPr>
              <w:t>·</w:t>
            </w:r>
            <w:r w:rsidRPr="00BA75F8">
              <w:rPr>
                <w:rFonts w:ascii="Times New Roman" w:hAnsi="Times New Roman" w:cs="Times New Roman"/>
                <w:sz w:val="18"/>
                <w:szCs w:val="18"/>
              </w:rPr>
              <w:t xml:space="preserve">         </w:t>
            </w:r>
            <w:r w:rsidRPr="00BA75F8">
              <w:rPr>
                <w:rFonts w:ascii="Verdana" w:hAnsi="Verdana" w:cs="Verdana"/>
                <w:sz w:val="26"/>
                <w:szCs w:val="26"/>
              </w:rPr>
              <w:t>laissez faire en medewerkers opzadelen met ‘zelfsturing’</w:t>
            </w:r>
          </w:p>
        </w:tc>
      </w:tr>
    </w:tbl>
    <w:p w14:paraId="689557E2" w14:textId="77777777" w:rsidR="009F691E" w:rsidRDefault="009F691E">
      <w:pPr>
        <w:rPr>
          <w:rFonts w:ascii="Verdana" w:hAnsi="Verdana" w:cs="Verdana"/>
          <w:sz w:val="22"/>
          <w:szCs w:val="22"/>
        </w:rPr>
      </w:pPr>
      <w:r w:rsidRPr="00BA75F8">
        <w:rPr>
          <w:rFonts w:ascii="Verdana" w:hAnsi="Verdana" w:cs="Verdana"/>
          <w:sz w:val="22"/>
          <w:szCs w:val="22"/>
        </w:rPr>
        <w:t> </w:t>
      </w:r>
    </w:p>
    <w:p w14:paraId="0F13E722" w14:textId="77777777" w:rsidR="00BA75F8" w:rsidRDefault="00BA75F8">
      <w:pPr>
        <w:rPr>
          <w:rFonts w:ascii="Verdana" w:hAnsi="Verdana" w:cs="Verdana"/>
          <w:sz w:val="22"/>
          <w:szCs w:val="22"/>
        </w:rPr>
      </w:pPr>
    </w:p>
    <w:p w14:paraId="65DEDA3C" w14:textId="77777777" w:rsidR="00BA75F8" w:rsidRDefault="00BA75F8">
      <w:pPr>
        <w:rPr>
          <w:rFonts w:ascii="Verdana" w:hAnsi="Verdana" w:cs="Verdana"/>
          <w:sz w:val="22"/>
          <w:szCs w:val="22"/>
        </w:rPr>
      </w:pPr>
    </w:p>
    <w:p w14:paraId="316729EE" w14:textId="77777777" w:rsidR="00BA75F8" w:rsidRDefault="00BA75F8">
      <w:pPr>
        <w:rPr>
          <w:rFonts w:ascii="Verdana" w:hAnsi="Verdana" w:cs="Verdana"/>
          <w:sz w:val="22"/>
          <w:szCs w:val="22"/>
        </w:rPr>
      </w:pPr>
    </w:p>
    <w:p w14:paraId="5DC06C25" w14:textId="77777777" w:rsidR="00BA75F8" w:rsidRDefault="00BA75F8">
      <w:pPr>
        <w:rPr>
          <w:rFonts w:ascii="Verdana" w:hAnsi="Verdana" w:cs="Verdana"/>
          <w:sz w:val="22"/>
          <w:szCs w:val="22"/>
        </w:rPr>
      </w:pPr>
    </w:p>
    <w:p w14:paraId="3A01BBBB" w14:textId="77777777" w:rsidR="00BA75F8" w:rsidRDefault="00BA75F8">
      <w:pPr>
        <w:rPr>
          <w:rFonts w:ascii="Verdana" w:hAnsi="Verdana" w:cs="Verdana"/>
          <w:sz w:val="22"/>
          <w:szCs w:val="22"/>
        </w:rPr>
      </w:pPr>
    </w:p>
    <w:p w14:paraId="6F8BCB2C" w14:textId="77777777" w:rsidR="00BA75F8" w:rsidRDefault="00BA75F8">
      <w:pPr>
        <w:rPr>
          <w:rFonts w:ascii="Verdana" w:hAnsi="Verdana" w:cs="Verdana"/>
          <w:sz w:val="22"/>
          <w:szCs w:val="22"/>
        </w:rPr>
      </w:pPr>
    </w:p>
    <w:p w14:paraId="60FE59CF" w14:textId="77777777" w:rsidR="00BA75F8" w:rsidRDefault="00BA75F8">
      <w:pPr>
        <w:rPr>
          <w:rFonts w:ascii="Verdana" w:hAnsi="Verdana" w:cs="Verdana"/>
          <w:sz w:val="22"/>
          <w:szCs w:val="22"/>
        </w:rPr>
      </w:pPr>
    </w:p>
    <w:p w14:paraId="18C839BC" w14:textId="77777777" w:rsidR="00BA75F8" w:rsidRDefault="00BA75F8">
      <w:pPr>
        <w:rPr>
          <w:rFonts w:ascii="Verdana" w:hAnsi="Verdana" w:cs="Verdana"/>
          <w:sz w:val="22"/>
          <w:szCs w:val="22"/>
        </w:rPr>
      </w:pPr>
    </w:p>
    <w:p w14:paraId="545BAB7A" w14:textId="77777777" w:rsidR="00BA75F8" w:rsidRDefault="00BA75F8">
      <w:pPr>
        <w:rPr>
          <w:rFonts w:ascii="Verdana" w:hAnsi="Verdana" w:cs="Verdana"/>
          <w:sz w:val="22"/>
          <w:szCs w:val="22"/>
        </w:rPr>
      </w:pPr>
    </w:p>
    <w:p w14:paraId="5BCE3A6A" w14:textId="77777777" w:rsidR="00BA75F8" w:rsidRDefault="00BA75F8">
      <w:pPr>
        <w:rPr>
          <w:rFonts w:ascii="Verdana" w:hAnsi="Verdana" w:cs="Verdana"/>
          <w:sz w:val="22"/>
          <w:szCs w:val="22"/>
        </w:rPr>
      </w:pPr>
    </w:p>
    <w:p w14:paraId="11A3DF35" w14:textId="77777777" w:rsidR="00BA75F8" w:rsidRDefault="00BA75F8">
      <w:pPr>
        <w:rPr>
          <w:rFonts w:ascii="Verdana" w:hAnsi="Verdana" w:cs="Verdana"/>
          <w:sz w:val="22"/>
          <w:szCs w:val="22"/>
        </w:rPr>
      </w:pPr>
    </w:p>
    <w:p w14:paraId="56B6C0E8" w14:textId="77777777" w:rsidR="00BA75F8" w:rsidRDefault="00BA75F8">
      <w:pPr>
        <w:rPr>
          <w:rFonts w:ascii="Verdana" w:hAnsi="Verdana" w:cs="Verdana"/>
          <w:sz w:val="22"/>
          <w:szCs w:val="22"/>
        </w:rPr>
      </w:pPr>
    </w:p>
    <w:p w14:paraId="3C135727" w14:textId="77777777" w:rsidR="00BA75F8" w:rsidRDefault="00BA75F8">
      <w:pPr>
        <w:rPr>
          <w:rFonts w:ascii="Verdana" w:hAnsi="Verdana" w:cs="Verdana"/>
          <w:sz w:val="22"/>
          <w:szCs w:val="22"/>
        </w:rPr>
      </w:pPr>
    </w:p>
    <w:p w14:paraId="4D0348F6" w14:textId="77777777" w:rsidR="00BA75F8" w:rsidRDefault="00BA75F8">
      <w:pPr>
        <w:rPr>
          <w:rFonts w:ascii="Verdana" w:hAnsi="Verdana" w:cs="Verdana"/>
          <w:sz w:val="22"/>
          <w:szCs w:val="22"/>
        </w:rPr>
      </w:pPr>
      <w:bookmarkStart w:id="0" w:name="_GoBack"/>
      <w:bookmarkEnd w:id="0"/>
    </w:p>
    <w:p w14:paraId="0996AA3E" w14:textId="77777777" w:rsidR="00BA75F8" w:rsidRDefault="00BA75F8">
      <w:pPr>
        <w:rPr>
          <w:rFonts w:ascii="Verdana" w:hAnsi="Verdana" w:cs="Verdana"/>
          <w:sz w:val="22"/>
          <w:szCs w:val="22"/>
        </w:rPr>
      </w:pPr>
    </w:p>
    <w:p w14:paraId="740DCA69" w14:textId="77777777" w:rsidR="00BA75F8" w:rsidRDefault="00BA75F8">
      <w:pPr>
        <w:rPr>
          <w:rFonts w:ascii="Verdana" w:hAnsi="Verdana" w:cs="Verdana"/>
          <w:sz w:val="22"/>
          <w:szCs w:val="22"/>
        </w:rPr>
      </w:pPr>
    </w:p>
    <w:p w14:paraId="501B1FB2" w14:textId="298EC9C2" w:rsidR="00BA75F8" w:rsidRPr="00BA75F8" w:rsidRDefault="00BA75F8">
      <w:pPr>
        <w:rPr>
          <w:rFonts w:ascii="Verdana" w:hAnsi="Verdana" w:cs="Verdana"/>
          <w:sz w:val="16"/>
          <w:szCs w:val="16"/>
        </w:rPr>
      </w:pPr>
      <w:r w:rsidRPr="00BA75F8">
        <w:rPr>
          <w:rFonts w:ascii="Verdana" w:hAnsi="Verdana" w:cs="Verdana"/>
          <w:sz w:val="16"/>
          <w:szCs w:val="16"/>
        </w:rPr>
        <w:t xml:space="preserve">Bron: </w:t>
      </w:r>
      <w:hyperlink r:id="rId6" w:history="1">
        <w:r w:rsidRPr="00BA75F8">
          <w:rPr>
            <w:rStyle w:val="Hyperlink"/>
            <w:rFonts w:ascii="Verdana" w:hAnsi="Verdana" w:cs="Verdana"/>
            <w:sz w:val="16"/>
            <w:szCs w:val="16"/>
          </w:rPr>
          <w:t>http://www.gertjanschop.com/modellen/kleuren_en_hun_centrale_thema_s.html</w:t>
        </w:r>
      </w:hyperlink>
    </w:p>
    <w:p w14:paraId="39E95934" w14:textId="77777777" w:rsidR="00BA75F8" w:rsidRPr="00BA75F8" w:rsidRDefault="00BA75F8"/>
    <w:sectPr w:rsidR="00BA75F8" w:rsidRPr="00BA75F8" w:rsidSect="008736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B4"/>
    <w:rsid w:val="0087368C"/>
    <w:rsid w:val="009F691E"/>
    <w:rsid w:val="00A10EB4"/>
    <w:rsid w:val="00BA75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11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10EB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0EB4"/>
    <w:rPr>
      <w:rFonts w:ascii="Lucida Grande" w:hAnsi="Lucida Grande" w:cs="Lucida Grande"/>
      <w:sz w:val="18"/>
      <w:szCs w:val="18"/>
      <w:lang w:val="nl-NL"/>
    </w:rPr>
  </w:style>
  <w:style w:type="character" w:styleId="Hyperlink">
    <w:name w:val="Hyperlink"/>
    <w:basedOn w:val="Standaardalinea-lettertype"/>
    <w:uiPriority w:val="99"/>
    <w:unhideWhenUsed/>
    <w:rsid w:val="00BA75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10EB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0EB4"/>
    <w:rPr>
      <w:rFonts w:ascii="Lucida Grande" w:hAnsi="Lucida Grande" w:cs="Lucida Grande"/>
      <w:sz w:val="18"/>
      <w:szCs w:val="18"/>
      <w:lang w:val="nl-NL"/>
    </w:rPr>
  </w:style>
  <w:style w:type="character" w:styleId="Hyperlink">
    <w:name w:val="Hyperlink"/>
    <w:basedOn w:val="Standaardalinea-lettertype"/>
    <w:uiPriority w:val="99"/>
    <w:unhideWhenUsed/>
    <w:rsid w:val="00BA7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ertjanschop.com/modellen/kleuren_en_hun_centrale_thema_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676</Words>
  <Characters>3719</Characters>
  <Application>Microsoft Macintosh Word</Application>
  <DocSecurity>0</DocSecurity>
  <Lines>30</Lines>
  <Paragraphs>8</Paragraphs>
  <ScaleCrop>false</ScaleCrop>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 Remkes</dc:creator>
  <cp:keywords/>
  <dc:description/>
  <cp:lastModifiedBy>Mado Remkes</cp:lastModifiedBy>
  <cp:revision>3</cp:revision>
  <dcterms:created xsi:type="dcterms:W3CDTF">2015-01-19T10:31:00Z</dcterms:created>
  <dcterms:modified xsi:type="dcterms:W3CDTF">2015-01-19T10:39:00Z</dcterms:modified>
</cp:coreProperties>
</file>